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0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highlight w:val="white"/>
        </w:rPr>
        <w:t>Информация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1"/>
          <w:sz w:val="24"/>
          <w:highlight w:val="white"/>
        </w:rPr>
        <w:t xml:space="preserve">о результатах </w:t>
      </w:r>
      <w:r>
        <w:rPr>
          <w:rFonts w:ascii="Times New Roman" w:hAnsi="Times New Roman"/>
          <w:b w:val="1"/>
          <w:sz w:val="24"/>
          <w:highlight w:val="white"/>
        </w:rPr>
        <w:t>экспертизы проекта решения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Совета депутатов </w:t>
      </w:r>
      <w:r>
        <w:rPr>
          <w:rFonts w:ascii="Times New Roman" w:hAnsi="Times New Roman"/>
          <w:b w:val="1"/>
          <w:sz w:val="24"/>
        </w:rPr>
        <w:t>Шарангского</w:t>
      </w:r>
      <w:r>
        <w:rPr>
          <w:rFonts w:ascii="Times New Roman" w:hAnsi="Times New Roman"/>
          <w:b w:val="1"/>
          <w:sz w:val="24"/>
        </w:rPr>
        <w:t xml:space="preserve"> муниципального округа Нижегородской области «О внесении изменений в решение Совета депутатов </w:t>
      </w:r>
      <w:r>
        <w:rPr>
          <w:rFonts w:ascii="Times New Roman" w:hAnsi="Times New Roman"/>
          <w:b w:val="1"/>
          <w:sz w:val="24"/>
        </w:rPr>
        <w:t>Шарангского</w:t>
      </w:r>
      <w:r>
        <w:rPr>
          <w:rFonts w:ascii="Times New Roman" w:hAnsi="Times New Roman"/>
          <w:b w:val="1"/>
          <w:sz w:val="24"/>
        </w:rPr>
        <w:t xml:space="preserve"> муниципального округа Нижегородской области от 23.12.2025 года №104 «О бюджете </w:t>
      </w:r>
      <w:r>
        <w:rPr>
          <w:rFonts w:ascii="Times New Roman" w:hAnsi="Times New Roman"/>
          <w:b w:val="1"/>
          <w:sz w:val="24"/>
        </w:rPr>
        <w:t>Шарангского</w:t>
      </w:r>
      <w:r>
        <w:rPr>
          <w:rFonts w:ascii="Times New Roman" w:hAnsi="Times New Roman"/>
          <w:b w:val="1"/>
          <w:sz w:val="24"/>
        </w:rPr>
        <w:t xml:space="preserve"> муниципального округа на 2026 год и на плановый период 2027 и 2028 годов»»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2000000">
      <w:pPr>
        <w:ind w:firstLine="567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На основании пункта 1.4 плана работы Контрольно-счетной комиссии </w:t>
      </w:r>
      <w:r>
        <w:rPr>
          <w:rFonts w:ascii="Times New Roman" w:hAnsi="Times New Roman"/>
          <w:sz w:val="28"/>
          <w:highlight w:val="white"/>
        </w:rPr>
        <w:t>Шарангского</w:t>
      </w:r>
      <w:r>
        <w:rPr>
          <w:rFonts w:ascii="Times New Roman" w:hAnsi="Times New Roman"/>
          <w:sz w:val="28"/>
          <w:highlight w:val="white"/>
        </w:rPr>
        <w:t xml:space="preserve"> муниципального округа Нижегородской области на 2026 год, утвержденного распоряжение</w:t>
      </w:r>
      <w:r>
        <w:rPr>
          <w:rFonts w:ascii="Times New Roman" w:hAnsi="Times New Roman"/>
          <w:sz w:val="28"/>
          <w:highlight w:val="white"/>
        </w:rPr>
        <w:t xml:space="preserve">м Контрольно-счетной комиссии </w:t>
      </w:r>
      <w:r>
        <w:rPr>
          <w:rFonts w:ascii="Times New Roman" w:hAnsi="Times New Roman"/>
          <w:sz w:val="28"/>
          <w:highlight w:val="white"/>
        </w:rPr>
        <w:t>Шарангского</w:t>
      </w:r>
      <w:r>
        <w:rPr>
          <w:rFonts w:ascii="Times New Roman" w:hAnsi="Times New Roman"/>
          <w:sz w:val="28"/>
          <w:highlight w:val="white"/>
        </w:rPr>
        <w:t xml:space="preserve"> муниципального округа Нижегородской области от 26.12.2025 № 19 проведена экспертиза проекта решения Совета депутатов </w:t>
      </w:r>
      <w:r>
        <w:rPr>
          <w:rFonts w:ascii="Times New Roman" w:hAnsi="Times New Roman"/>
          <w:sz w:val="28"/>
          <w:highlight w:val="white"/>
        </w:rPr>
        <w:t>Шарангского</w:t>
      </w:r>
      <w:r>
        <w:rPr>
          <w:rFonts w:ascii="Times New Roman" w:hAnsi="Times New Roman"/>
          <w:sz w:val="28"/>
          <w:highlight w:val="white"/>
        </w:rPr>
        <w:t xml:space="preserve"> муниципального округа Нижегородской области «</w:t>
      </w:r>
      <w:r>
        <w:rPr>
          <w:rFonts w:ascii="Times New Roman" w:hAnsi="Times New Roman"/>
          <w:sz w:val="28"/>
        </w:rPr>
        <w:t xml:space="preserve">О внесении изменений в решение Совета депутатов </w:t>
      </w:r>
      <w:r>
        <w:rPr>
          <w:rFonts w:ascii="Times New Roman" w:hAnsi="Times New Roman"/>
          <w:sz w:val="28"/>
        </w:rPr>
        <w:t>Шарангского</w:t>
      </w:r>
      <w:r>
        <w:rPr>
          <w:rFonts w:ascii="Times New Roman" w:hAnsi="Times New Roman"/>
          <w:sz w:val="28"/>
        </w:rPr>
        <w:t xml:space="preserve"> муниципального округа Нижегородской области от 23.12.2025 года №104 «О бюджете </w:t>
      </w:r>
      <w:r>
        <w:rPr>
          <w:rFonts w:ascii="Times New Roman" w:hAnsi="Times New Roman"/>
          <w:sz w:val="28"/>
        </w:rPr>
        <w:t>Шарангского</w:t>
      </w:r>
      <w:r>
        <w:rPr>
          <w:rFonts w:ascii="Times New Roman" w:hAnsi="Times New Roman"/>
          <w:sz w:val="28"/>
        </w:rPr>
        <w:t xml:space="preserve"> муниципального округа на 2026 год и на плановый период 2027 и 2028 годов»»</w:t>
      </w:r>
      <w:r>
        <w:rPr>
          <w:rFonts w:ascii="Times New Roman" w:hAnsi="Times New Roman"/>
          <w:sz w:val="28"/>
          <w:highlight w:val="white"/>
        </w:rPr>
        <w:t xml:space="preserve">, направленного Советом депутатов </w:t>
      </w:r>
      <w:r>
        <w:rPr>
          <w:rFonts w:ascii="Times New Roman" w:hAnsi="Times New Roman"/>
          <w:sz w:val="28"/>
          <w:highlight w:val="white"/>
        </w:rPr>
        <w:t>Шарангского</w:t>
      </w:r>
      <w:r>
        <w:rPr>
          <w:rFonts w:ascii="Times New Roman" w:hAnsi="Times New Roman"/>
          <w:sz w:val="28"/>
          <w:highlight w:val="white"/>
        </w:rPr>
        <w:t xml:space="preserve"> муниципального </w:t>
      </w:r>
      <w:r>
        <w:rPr>
          <w:rFonts w:ascii="Times New Roman" w:hAnsi="Times New Roman"/>
          <w:sz w:val="28"/>
          <w:highlight w:val="white"/>
        </w:rPr>
        <w:t>округа Нижегородской области</w:t>
      </w:r>
      <w:r>
        <w:rPr>
          <w:rFonts w:ascii="Times New Roman" w:hAnsi="Times New Roman"/>
          <w:sz w:val="28"/>
        </w:rPr>
        <w:t>, в соотв</w:t>
      </w:r>
      <w:r>
        <w:rPr>
          <w:rFonts w:ascii="Times New Roman" w:hAnsi="Times New Roman"/>
          <w:sz w:val="28"/>
          <w:highlight w:val="white"/>
        </w:rPr>
        <w:t xml:space="preserve">етствии с решением Совета депутатов </w:t>
      </w:r>
      <w:r>
        <w:rPr>
          <w:rFonts w:ascii="Times New Roman" w:hAnsi="Times New Roman"/>
          <w:sz w:val="28"/>
          <w:highlight w:val="white"/>
        </w:rPr>
        <w:t>Шарангского</w:t>
      </w:r>
      <w:r>
        <w:rPr>
          <w:rFonts w:ascii="Times New Roman" w:hAnsi="Times New Roman"/>
          <w:sz w:val="28"/>
          <w:highlight w:val="white"/>
        </w:rPr>
        <w:t xml:space="preserve"> муниципального округа Нижегородской области от 27.10.2022 №25 «Об утверждении Положения о бюджетном процессе в </w:t>
      </w:r>
      <w:r>
        <w:rPr>
          <w:rFonts w:ascii="Times New Roman" w:hAnsi="Times New Roman"/>
          <w:sz w:val="28"/>
          <w:highlight w:val="white"/>
        </w:rPr>
        <w:t>Шарангском</w:t>
      </w:r>
      <w:r>
        <w:rPr>
          <w:rFonts w:ascii="Times New Roman" w:hAnsi="Times New Roman"/>
          <w:sz w:val="28"/>
          <w:highlight w:val="white"/>
        </w:rPr>
        <w:t xml:space="preserve"> муниципал</w:t>
      </w:r>
      <w:r>
        <w:rPr>
          <w:rFonts w:ascii="Times New Roman" w:hAnsi="Times New Roman"/>
          <w:sz w:val="28"/>
          <w:highlight w:val="white"/>
        </w:rPr>
        <w:t>ьном округе Нижегородской области».</w:t>
      </w:r>
    </w:p>
    <w:p w14:paraId="0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Внесение </w:t>
      </w:r>
      <w:r>
        <w:rPr>
          <w:rFonts w:ascii="Times New Roman" w:hAnsi="Times New Roman"/>
          <w:sz w:val="28"/>
        </w:rPr>
        <w:t>изменений связано с изменением объема безвозмездных поступлений из вышестоящих бюджетов, перераспределением бюджетных ассигнований между кодами бюджетной классификации.</w:t>
      </w:r>
    </w:p>
    <w:p w14:paraId="0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 результате вносимых изменений основные параметры бюджета Шарангского муниципального округа составят:</w:t>
      </w:r>
    </w:p>
    <w:p w14:paraId="05000000">
      <w:pPr>
        <w:ind w:hanging="567" w:left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на 2026 год: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доходы: 1</w:t>
      </w:r>
      <w:r>
        <w:rPr>
          <w:rFonts w:ascii="Times New Roman" w:hAnsi="Times New Roman"/>
          <w:sz w:val="28"/>
        </w:rPr>
        <w:t> 159 948,8</w:t>
      </w:r>
      <w:r>
        <w:rPr>
          <w:rFonts w:ascii="Times New Roman" w:hAnsi="Times New Roman"/>
          <w:sz w:val="28"/>
        </w:rPr>
        <w:t xml:space="preserve"> тыс. рублей (у</w:t>
      </w:r>
      <w:r>
        <w:rPr>
          <w:rFonts w:ascii="Times New Roman" w:hAnsi="Times New Roman"/>
          <w:sz w:val="28"/>
        </w:rPr>
        <w:t>величены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31 739,7</w:t>
      </w:r>
      <w:r>
        <w:rPr>
          <w:rFonts w:ascii="Times New Roman" w:hAnsi="Times New Roman"/>
          <w:sz w:val="28"/>
        </w:rPr>
        <w:t xml:space="preserve"> тыс. рублей);</w:t>
      </w:r>
    </w:p>
    <w:p w14:paraId="0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расходы: 1</w:t>
      </w:r>
      <w:r>
        <w:rPr>
          <w:rFonts w:ascii="Times New Roman" w:hAnsi="Times New Roman"/>
          <w:sz w:val="28"/>
        </w:rPr>
        <w:t xml:space="preserve"> 172 343,0 </w:t>
      </w:r>
      <w:r>
        <w:rPr>
          <w:rFonts w:ascii="Times New Roman" w:hAnsi="Times New Roman"/>
          <w:sz w:val="28"/>
        </w:rPr>
        <w:t xml:space="preserve">тыс. рублей (увеличены на </w:t>
      </w:r>
      <w:r>
        <w:rPr>
          <w:rFonts w:ascii="Times New Roman" w:hAnsi="Times New Roman"/>
          <w:sz w:val="28"/>
        </w:rPr>
        <w:t>31 739,7</w:t>
      </w:r>
      <w:r>
        <w:rPr>
          <w:rFonts w:ascii="Times New Roman" w:hAnsi="Times New Roman"/>
          <w:sz w:val="28"/>
        </w:rPr>
        <w:t xml:space="preserve"> тыс. рублей);</w:t>
      </w:r>
    </w:p>
    <w:p w14:paraId="07000000">
      <w:pPr>
        <w:ind w:firstLine="0" w:left="567"/>
        <w:jc w:val="lef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дефицит: 12 394,2 тыс. рублей (</w:t>
      </w:r>
      <w:r>
        <w:rPr>
          <w:rFonts w:ascii="Times New Roman" w:hAnsi="Times New Roman"/>
          <w:sz w:val="28"/>
        </w:rPr>
        <w:t>без изменений</w:t>
      </w:r>
      <w:r>
        <w:rPr>
          <w:rFonts w:ascii="Times New Roman" w:hAnsi="Times New Roman"/>
          <w:sz w:val="28"/>
        </w:rPr>
        <w:t>);</w:t>
      </w:r>
    </w:p>
    <w:p w14:paraId="08000000">
      <w:pPr>
        <w:ind w:hanging="567" w:left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на 2027 год: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доходы: 9</w:t>
      </w:r>
      <w:r>
        <w:rPr>
          <w:rFonts w:ascii="Times New Roman" w:hAnsi="Times New Roman"/>
          <w:sz w:val="28"/>
        </w:rPr>
        <w:t>24 691,2</w:t>
      </w:r>
      <w:r>
        <w:rPr>
          <w:rFonts w:ascii="Times New Roman" w:hAnsi="Times New Roman"/>
          <w:sz w:val="28"/>
        </w:rPr>
        <w:t xml:space="preserve"> тыс. рублей (</w:t>
      </w:r>
      <w:r>
        <w:rPr>
          <w:rFonts w:ascii="Times New Roman" w:hAnsi="Times New Roman"/>
          <w:sz w:val="28"/>
        </w:rPr>
        <w:t>увеличены</w:t>
      </w:r>
      <w:r>
        <w:rPr>
          <w:rFonts w:ascii="Times New Roman" w:hAnsi="Times New Roman"/>
          <w:sz w:val="28"/>
        </w:rPr>
        <w:t xml:space="preserve"> на 2</w:t>
      </w:r>
      <w:r>
        <w:rPr>
          <w:rFonts w:ascii="Times New Roman" w:hAnsi="Times New Roman"/>
          <w:sz w:val="28"/>
        </w:rPr>
        <w:t> 087,5</w:t>
      </w:r>
      <w:r>
        <w:rPr>
          <w:rFonts w:ascii="Times New Roman" w:hAnsi="Times New Roman"/>
          <w:sz w:val="28"/>
        </w:rPr>
        <w:t xml:space="preserve"> тыс. рублей);</w:t>
      </w:r>
    </w:p>
    <w:p w14:paraId="0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расходы: 9</w:t>
      </w:r>
      <w:r>
        <w:rPr>
          <w:rFonts w:ascii="Times New Roman" w:hAnsi="Times New Roman"/>
          <w:sz w:val="28"/>
        </w:rPr>
        <w:t>24 691,2</w:t>
      </w:r>
      <w:r>
        <w:rPr>
          <w:rFonts w:ascii="Times New Roman" w:hAnsi="Times New Roman"/>
          <w:sz w:val="28"/>
        </w:rPr>
        <w:t xml:space="preserve"> тыс. рублей (у</w:t>
      </w:r>
      <w:r>
        <w:rPr>
          <w:rFonts w:ascii="Times New Roman" w:hAnsi="Times New Roman"/>
          <w:sz w:val="28"/>
        </w:rPr>
        <w:t>величены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2 087,5</w:t>
      </w:r>
      <w:r>
        <w:rPr>
          <w:rFonts w:ascii="Times New Roman" w:hAnsi="Times New Roman"/>
          <w:sz w:val="28"/>
        </w:rPr>
        <w:t xml:space="preserve"> тыс. рублей);</w:t>
      </w:r>
    </w:p>
    <w:p w14:paraId="0A000000">
      <w:pPr>
        <w:ind w:firstLine="0" w:left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дефицит: 0,0 тыс. рублей (без изменений);</w:t>
      </w:r>
    </w:p>
    <w:p w14:paraId="0B000000">
      <w:pPr>
        <w:ind w:hanging="567" w:left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на 2028 год: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доходы: 958</w:t>
      </w:r>
      <w:r>
        <w:rPr>
          <w:rFonts w:ascii="Times New Roman" w:hAnsi="Times New Roman"/>
          <w:sz w:val="28"/>
        </w:rPr>
        <w:t> 819,9</w:t>
      </w:r>
      <w:r>
        <w:rPr>
          <w:rFonts w:ascii="Times New Roman" w:hAnsi="Times New Roman"/>
          <w:sz w:val="28"/>
        </w:rPr>
        <w:t xml:space="preserve"> тыс. рублей (</w:t>
      </w:r>
      <w:r>
        <w:rPr>
          <w:rFonts w:ascii="Times New Roman" w:hAnsi="Times New Roman"/>
          <w:sz w:val="28"/>
        </w:rPr>
        <w:t>увеличены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234,5</w:t>
      </w:r>
      <w:r>
        <w:rPr>
          <w:rFonts w:ascii="Times New Roman" w:hAnsi="Times New Roman"/>
          <w:sz w:val="28"/>
        </w:rPr>
        <w:t xml:space="preserve"> тыс. рублей);</w:t>
      </w:r>
    </w:p>
    <w:p w14:paraId="0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расходы: 958</w:t>
      </w:r>
      <w:r>
        <w:rPr>
          <w:rFonts w:ascii="Times New Roman" w:hAnsi="Times New Roman"/>
          <w:sz w:val="28"/>
        </w:rPr>
        <w:t> 819,9</w:t>
      </w:r>
      <w:r>
        <w:rPr>
          <w:rFonts w:ascii="Times New Roman" w:hAnsi="Times New Roman"/>
          <w:sz w:val="28"/>
        </w:rPr>
        <w:t xml:space="preserve"> тыс. рублей (</w:t>
      </w:r>
      <w:r>
        <w:rPr>
          <w:rFonts w:ascii="Times New Roman" w:hAnsi="Times New Roman"/>
          <w:sz w:val="28"/>
        </w:rPr>
        <w:t>увеличены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234,5</w:t>
      </w:r>
      <w:r>
        <w:rPr>
          <w:rFonts w:ascii="Times New Roman" w:hAnsi="Times New Roman"/>
          <w:sz w:val="28"/>
        </w:rPr>
        <w:t xml:space="preserve"> тыс. рублей);</w:t>
      </w:r>
    </w:p>
    <w:p w14:paraId="0D000000">
      <w:pPr>
        <w:spacing w:after="300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дефицит: 0,0 тыс. рублей (без изменений)</w:t>
      </w:r>
      <w:r>
        <w:rPr>
          <w:rFonts w:ascii="Times New Roman" w:hAnsi="Times New Roman"/>
          <w:sz w:val="26"/>
        </w:rPr>
        <w:t>.</w:t>
      </w:r>
    </w:p>
    <w:p w14:paraId="0E000000">
      <w:pPr>
        <w:spacing w:after="300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проведенной экспертизы Контрольно-</w:t>
      </w:r>
      <w:r>
        <w:rPr>
          <w:rFonts w:ascii="Times New Roman" w:hAnsi="Times New Roman"/>
          <w:sz w:val="28"/>
        </w:rPr>
        <w:t xml:space="preserve">счетной комиссией </w:t>
      </w:r>
      <w:r>
        <w:rPr>
          <w:rFonts w:ascii="Times New Roman" w:hAnsi="Times New Roman"/>
          <w:sz w:val="28"/>
        </w:rPr>
        <w:t>Шарангского</w:t>
      </w:r>
      <w:r>
        <w:rPr>
          <w:rFonts w:ascii="Times New Roman" w:hAnsi="Times New Roman"/>
          <w:sz w:val="28"/>
        </w:rPr>
        <w:t xml:space="preserve"> муниципального округа Нижегородской области подготовлено заключение с</w:t>
      </w:r>
      <w:r>
        <w:rPr>
          <w:rFonts w:ascii="Times New Roman" w:hAnsi="Times New Roman"/>
          <w:sz w:val="28"/>
          <w:highlight w:val="white"/>
        </w:rPr>
        <w:t xml:space="preserve"> предложениями.</w:t>
      </w:r>
    </w:p>
    <w:p w14:paraId="0F000000">
      <w:pPr>
        <w:spacing w:after="300"/>
        <w:ind w:firstLine="567" w:left="0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Председатель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А.М. Киселева</w:t>
      </w:r>
    </w:p>
    <w:p w14:paraId="10000000">
      <w:pPr>
        <w:spacing w:after="300"/>
        <w:ind w:firstLine="0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23.03.2026</w:t>
      </w:r>
    </w:p>
    <w:sectPr>
      <w:pgSz w:h="16838" w:orient="portrait" w:w="11906"/>
      <w:pgMar w:bottom="1134" w:footer="720" w:gutter="0" w:header="720" w:left="1304" w:right="73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6_ch" w:type="character">
    <w:name w:val="heading 3"/>
    <w:link w:val="Style_6"/>
    <w:rPr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</w:pPr>
    <w:rPr>
      <w:sz w:val="28"/>
    </w:rPr>
  </w:style>
  <w:style w:styleId="Style_7_ch" w:type="character">
    <w:name w:val="toc 3"/>
    <w:link w:val="Style_7"/>
    <w:rPr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9_ch" w:type="character">
    <w:name w:val="heading 5"/>
    <w:link w:val="Style_9"/>
    <w:rPr>
      <w:b w:val="1"/>
      <w:sz w:val="22"/>
    </w:rPr>
  </w:style>
  <w:style w:styleId="Style_10" w:type="paragraph">
    <w:name w:val="Обычный1"/>
    <w:link w:val="Style_10_ch"/>
    <w:rPr>
      <w:rFonts w:ascii="XO Thames" w:hAnsi="XO Thames"/>
      <w:sz w:val="28"/>
    </w:rPr>
  </w:style>
  <w:style w:styleId="Style_10_ch" w:type="character">
    <w:name w:val="Обычный1"/>
    <w:link w:val="Style_10"/>
    <w:rPr>
      <w:rFonts w:ascii="XO Thames" w:hAnsi="XO Thames"/>
      <w:sz w:val="28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1_ch" w:type="character">
    <w:name w:val="heading 1"/>
    <w:link w:val="Style_11"/>
    <w:rPr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sz w:val="22"/>
    </w:rPr>
  </w:style>
  <w:style w:styleId="Style_13_ch" w:type="character">
    <w:name w:val="Footnote"/>
    <w:link w:val="Style_13"/>
    <w:rPr>
      <w:sz w:val="22"/>
    </w:rPr>
  </w:style>
  <w:style w:styleId="Style_14" w:type="paragraph">
    <w:name w:val="toc 1"/>
    <w:next w:val="Style_1"/>
    <w:link w:val="Style_14_ch"/>
    <w:uiPriority w:val="39"/>
    <w:rPr>
      <w:b w:val="1"/>
      <w:sz w:val="28"/>
    </w:rPr>
  </w:style>
  <w:style w:styleId="Style_14_ch" w:type="character">
    <w:name w:val="toc 1"/>
    <w:link w:val="Style_14"/>
    <w:rPr>
      <w:b w:val="1"/>
      <w:sz w:val="28"/>
    </w:rPr>
  </w:style>
  <w:style w:styleId="Style_15" w:type="paragraph">
    <w:name w:val="Header and Footer"/>
    <w:link w:val="Style_15_ch"/>
    <w:pPr>
      <w:ind/>
      <w:jc w:val="both"/>
    </w:pPr>
    <w:rPr>
      <w:sz w:val="20"/>
    </w:rPr>
  </w:style>
  <w:style w:styleId="Style_15_ch" w:type="character">
    <w:name w:val="Header and Footer"/>
    <w:link w:val="Style_15"/>
    <w:rPr>
      <w:sz w:val="20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toc 9"/>
    <w:next w:val="Style_1"/>
    <w:link w:val="Style_17_ch"/>
    <w:uiPriority w:val="39"/>
    <w:pPr>
      <w:ind w:firstLine="0" w:left="1600"/>
    </w:pPr>
    <w:rPr>
      <w:sz w:val="28"/>
    </w:rPr>
  </w:style>
  <w:style w:styleId="Style_17_ch" w:type="character">
    <w:name w:val="toc 9"/>
    <w:link w:val="Style_17"/>
    <w:rPr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</w:pPr>
    <w:rPr>
      <w:sz w:val="28"/>
    </w:rPr>
  </w:style>
  <w:style w:styleId="Style_18_ch" w:type="character">
    <w:name w:val="toc 8"/>
    <w:link w:val="Style_18"/>
    <w:rPr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</w:pPr>
    <w:rPr>
      <w:sz w:val="28"/>
    </w:rPr>
  </w:style>
  <w:style w:styleId="Style_19_ch" w:type="character">
    <w:name w:val="toc 5"/>
    <w:link w:val="Style_19"/>
    <w:rPr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i w:val="1"/>
    </w:rPr>
  </w:style>
  <w:style w:styleId="Style_20_ch" w:type="character">
    <w:name w:val="Subtitle"/>
    <w:link w:val="Style_20"/>
    <w:rPr>
      <w:i w:val="1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1_ch" w:type="character">
    <w:name w:val="Title"/>
    <w:link w:val="Style_21"/>
    <w:rPr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2_ch" w:type="character">
    <w:name w:val="heading 4"/>
    <w:link w:val="Style_22"/>
    <w:rPr>
      <w:b w:val="1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3_ch" w:type="character">
    <w:name w:val="heading 2"/>
    <w:link w:val="Style_23"/>
    <w:rPr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2026-03-31T06:06:11Z</dcterms:modified>
</cp:coreProperties>
</file>